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Белый Аликорн. Райдеры.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Здравствуйте! Если вы хотите пригласить нас выступить на вашем мероприятии, пожалуйста, ознакомьтесь с нашими райдерами. Мы Melodic Metal группа, и, не смотря на то, что наша музыка мелодичная, она всё ещё достаточно тяжёлая. По этой причине, не каждая площадка может нас принять. Нам необходимо хотя бы минимальное оборудование для того, чтобы мы звучали более-менее достойно. Ниже прилагается тех. райдер.</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Т</w:t>
      </w:r>
      <w:r w:rsidDel="00000000" w:rsidR="00000000" w:rsidRPr="00000000">
        <w:rPr>
          <w:sz w:val="28"/>
          <w:szCs w:val="28"/>
          <w:rtl w:val="0"/>
        </w:rPr>
        <w:t xml:space="preserve">ехнический райдер.</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Инструментальный:</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два гитарных комбоусилителя не менее 50 ватт каждый (желательно один ламповый)</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басовый комбоусилитель минимум 100 ватт + прострелы/мониторы подзвучки</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три инструментах микрофона для снятия гитарного/басового сигнала. Для бас - гитары возможна подзвучка через дибокс</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стереопара на "джеках" для клавиш или дибокс/мультикор на сцене.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Пульт:</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пульт : минимум 16 каналов. Аппаратура пространственной и динамической обработки ( реверы-дилеи, компрессоры гейты и т.д)</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фантомное питание на пульте.</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возможность вывода звука с пульта на систему персонального ушного мониторинга вокалистке. (сама система есть)</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возможность вывода звука с пульта барабанщику на отдельный монитор или на наушники (есть свои мини пульт для подключения наушников).</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мониторная линия. минимум два монитора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Барабаны:</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не менее 4 стоек для тарелок для барабанщика. Стойки не должны двигаться, падать. (должны быть исправны, фетры все должны быть на месте)</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бас бочка должна быть закреплена на сцене (хотя бы 4 ножками на ковре. Лучше порожками перед самой бочкой вбитыми в пол), не должна ездить в процессе игры на кардане</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регулируемый исправный стул для барабанщика.</w:t>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sz w:val="20"/>
          <w:szCs w:val="20"/>
          <w:rtl w:val="0"/>
        </w:rPr>
        <w:t xml:space="preserve">подзвучка барабанов (для крупной) или бас-бочки (для небольшой площадки)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Стойки и другое:</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два микрофона вокальных.</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две микрофонные стойки.</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клавишная стойка.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В случае, если вы не можете выполнить какое-либо из этих условий, необходимо сообщить нам об этом, тогда можно попробовать решить, что делать в этой ситуации.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Наш состав:</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вокал</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основная электрогитара + бэк-вокал</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ритм электрогитара</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бас</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клавиши</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барабаны + дополнительный вокал (гроул). У барабанщика свой головной вокальный микрофон.</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Так же, настоятельно просим выслать нам технический райдер площадки.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Минимальный бытовой райдер.</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6 бутылок воды без газа 0.5</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4 бутылки минеральной воды 0.5, либо 1 бутылка 1,5-2 литра</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размещение музыкантов в подсобке/комнате для музыкантов на время мероприятия (если это клуб или ДК). Место для палаток, если это открытый фестиваль и он проходит в конце весны или летом</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наличие какой-либо еды или возможность пронести свою</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Это очень скромный бытовой райдер, без которого нам будет выступать очень не комфортно. Однако, если же вы хотите и можете выполнить рекомендованный райдер (хотя бы частично), мы будем очень рады (но это, конечно, не обязательно).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Рекомендованный бытовой райдер.</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6 бутылок воды без газа 0.5</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4 бутылки минеральной воды 0.5, либо 1 бутылка 1,5-2 литра</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размещение музыкантов в подсобке/комнаты для музыкантов на время мероприятия (если это клуб или ДК). Место для палаток, если это открытый фестиваль и он проходит в конце весны или летом</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наличие чайника, чая, фруктов</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наличие какой-либо еды или возможность пронести свою</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оплата проезда до мероприятия, если оно не в Москве</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какое-либо размещение нас, если приходится ночевать</w:t>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contextualSpacing w:val="0"/>
      </w:pPr>
      <w:r w:rsidDel="00000000" w:rsidR="00000000" w:rsidRPr="00000000">
        <w:rPr>
          <w:rtl w:val="0"/>
        </w:rPr>
      </w:r>
    </w:p>
    <w:tbl>
      <w:tblPr>
        <w:tblStyle w:val="Table1"/>
        <w:bidi w:val="0"/>
        <w:tblW w:w="9025.511811023624" w:type="dxa"/>
        <w:jc w:val="left"/>
        <w:tblLayout w:type="fixed"/>
        <w:tblLook w:val="0600"/>
      </w:tblPr>
      <w:tblGrid>
        <w:gridCol w:w="3895.904378859118"/>
        <w:gridCol w:w="562.7417436129837"/>
        <w:gridCol w:w="3895.904378859118"/>
        <w:gridCol w:w="562.7417436129837"/>
        <w:gridCol w:w="108.21956607941993"/>
        <w:tblGridChange w:id="0">
          <w:tblGrid>
            <w:gridCol w:w="3895.904378859118"/>
            <w:gridCol w:w="562.7417436129837"/>
            <w:gridCol w:w="3895.904378859118"/>
            <w:gridCol w:w="562.7417436129837"/>
            <w:gridCol w:w="108.21956607941993"/>
          </w:tblGrid>
        </w:tblGridChange>
      </w:tblGrid>
      <w:tr>
        <w:trPr>
          <w:trHeight w:val="2440" w:hRule="atLeast"/>
        </w:trPr>
        <w:tc>
          <w:tcPr>
            <w:tcBorders>
              <w:top w:color="ffffff" w:space="0" w:sz="30" w:val="single"/>
            </w:tcBorders>
            <w:tcMar>
              <w:top w:w="80.0" w:type="dxa"/>
              <w:left w:w="80.0" w:type="dxa"/>
              <w:bottom w:w="80.0" w:type="dxa"/>
              <w:right w:w="80.0" w:type="dxa"/>
            </w:tcMar>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ffffff" w:space="0" w:sz="30"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30"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400" w:hRule="atLeast"/>
        </w:trPr>
        <w:tc>
          <w:tcPr>
            <w:tcBorders>
              <w:top w:color="ffffff" w:space="0" w:sz="30" w:val="single"/>
            </w:tcBorders>
            <w:tcMar>
              <w:top w:w="60.0" w:type="dxa"/>
              <w:left w:w="60.0" w:type="dxa"/>
              <w:bottom w:w="60.0" w:type="dxa"/>
              <w:right w:w="6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30"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30"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30"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ffffff" w:space="0" w:sz="30" w:val="single"/>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420" w:hRule="atLeast"/>
        </w:trPr>
        <w:tc>
          <w:tcPr>
            <w:tcBorders>
              <w:top w:color="000000" w:space="0" w:sz="0" w:val="nil"/>
            </w:tcBorders>
            <w:tcMar>
              <w:top w:w="60.0" w:type="dxa"/>
              <w:left w:w="60.0" w:type="dxa"/>
              <w:bottom w:w="60.0" w:type="dxa"/>
              <w:right w:w="6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Borders>
              <w:top w:color="000000" w:space="0" w:sz="0" w:val="nil"/>
            </w:tcBorders>
            <w:tcMar>
              <w:top w:w="60.0" w:type="dxa"/>
              <w:left w:w="60.0" w:type="dxa"/>
              <w:bottom w:w="60.0" w:type="dxa"/>
              <w:right w:w="6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0" w:val="nil"/>
            </w:tcBorders>
            <w:tcMar>
              <w:top w:w="80.0" w:type="dxa"/>
              <w:left w:w="80.0" w:type="dxa"/>
              <w:bottom w:w="80.0" w:type="dxa"/>
              <w:right w:w="8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